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35D5D502" w:rsidR="00CD4C7B" w:rsidRPr="00CE1280" w:rsidRDefault="00D121CA" w:rsidP="00CD4C7B">
      <w:pPr>
        <w:pStyle w:val="Header"/>
        <w:tabs>
          <w:tab w:val="right" w:pos="9639"/>
        </w:tabs>
        <w:rPr>
          <w:bCs/>
          <w:i/>
          <w:noProof w:val="0"/>
          <w:sz w:val="24"/>
          <w:szCs w:val="24"/>
          <w:lang w:val="en-US"/>
        </w:rPr>
      </w:pPr>
      <w:r w:rsidRPr="00171109">
        <w:rPr>
          <w:rFonts w:cs="Arial"/>
          <w:bCs/>
          <w:sz w:val="24"/>
        </w:rPr>
        <w:t xml:space="preserve">3GPP TSG RAN WG1 Meeting </w:t>
      </w:r>
      <w:r w:rsidR="00AB4C66" w:rsidRPr="00171109">
        <w:rPr>
          <w:rFonts w:cs="Arial"/>
          <w:bCs/>
          <w:sz w:val="24"/>
        </w:rPr>
        <w:t>#94</w:t>
      </w:r>
      <w:r w:rsidR="00CD4C7B" w:rsidRPr="00171109">
        <w:rPr>
          <w:bCs/>
          <w:noProof w:val="0"/>
          <w:sz w:val="24"/>
          <w:szCs w:val="24"/>
          <w:lang w:val="en-US"/>
        </w:rPr>
        <w:tab/>
      </w:r>
      <w:r w:rsidRPr="00171109">
        <w:rPr>
          <w:bCs/>
          <w:noProof w:val="0"/>
          <w:sz w:val="24"/>
          <w:szCs w:val="24"/>
          <w:lang w:val="en-US"/>
        </w:rPr>
        <w:t>R1-</w:t>
      </w:r>
      <w:r w:rsidR="00171109" w:rsidRPr="00171109">
        <w:t xml:space="preserve"> </w:t>
      </w:r>
      <w:r w:rsidR="00171109" w:rsidRPr="00171109">
        <w:rPr>
          <w:bCs/>
          <w:noProof w:val="0"/>
          <w:sz w:val="24"/>
          <w:szCs w:val="24"/>
          <w:lang w:val="en-US"/>
        </w:rPr>
        <w:t>1808579</w:t>
      </w:r>
    </w:p>
    <w:p w14:paraId="231362B2" w14:textId="11EAB31E" w:rsidR="00CD4C7B" w:rsidRPr="00CE1280" w:rsidRDefault="00AB4C66" w:rsidP="00CD4C7B">
      <w:pPr>
        <w:pStyle w:val="Header"/>
        <w:tabs>
          <w:tab w:val="right" w:pos="9639"/>
        </w:tabs>
        <w:rPr>
          <w:bCs/>
          <w:noProof w:val="0"/>
          <w:sz w:val="24"/>
          <w:szCs w:val="24"/>
          <w:lang w:val="en-US"/>
        </w:rPr>
      </w:pPr>
      <w:r w:rsidRPr="00AB4C66">
        <w:rPr>
          <w:rFonts w:eastAsia="SimSun"/>
          <w:noProof w:val="0"/>
          <w:sz w:val="24"/>
          <w:szCs w:val="24"/>
          <w:lang w:val="en-US" w:eastAsia="zh-CN"/>
        </w:rPr>
        <w:t>Gothenburg, Sweden, August 20th – 24th, 2018</w:t>
      </w:r>
    </w:p>
    <w:p w14:paraId="39BE00F6" w14:textId="77777777" w:rsidR="00CD4C7B" w:rsidRPr="00CE1280" w:rsidRDefault="00CD4C7B" w:rsidP="00CD4C7B">
      <w:pPr>
        <w:pStyle w:val="Header"/>
        <w:rPr>
          <w:bCs/>
          <w:noProof w:val="0"/>
          <w:sz w:val="24"/>
          <w:lang w:val="en-US"/>
        </w:rPr>
      </w:pPr>
    </w:p>
    <w:p w14:paraId="758E2B30" w14:textId="02ECBFD6" w:rsidR="00CD4C7B" w:rsidRPr="00CE1280" w:rsidRDefault="00CD4C7B" w:rsidP="00CD4C7B">
      <w:pPr>
        <w:pStyle w:val="CRCoverPage"/>
        <w:tabs>
          <w:tab w:val="left" w:pos="1985"/>
        </w:tabs>
        <w:rPr>
          <w:rFonts w:cs="Arial"/>
          <w:b/>
          <w:bCs/>
          <w:sz w:val="24"/>
          <w:lang w:val="en-US" w:eastAsia="ja-JP"/>
        </w:rPr>
      </w:pPr>
      <w:r w:rsidRPr="00CE1280">
        <w:rPr>
          <w:rFonts w:cs="Arial"/>
          <w:b/>
          <w:bCs/>
          <w:sz w:val="24"/>
          <w:lang w:val="en-US"/>
        </w:rPr>
        <w:t>Agenda item:</w:t>
      </w:r>
      <w:r w:rsidRPr="00CE1280">
        <w:rPr>
          <w:rFonts w:cs="Arial"/>
          <w:b/>
          <w:bCs/>
          <w:sz w:val="24"/>
          <w:lang w:val="en-US"/>
        </w:rPr>
        <w:tab/>
      </w:r>
      <w:r w:rsidR="00D121CA">
        <w:rPr>
          <w:rFonts w:cs="Arial"/>
          <w:b/>
          <w:bCs/>
          <w:sz w:val="24"/>
          <w:lang w:val="en-US" w:eastAsia="ja-JP"/>
        </w:rPr>
        <w:t>7.</w:t>
      </w:r>
      <w:r w:rsidR="009B072B">
        <w:rPr>
          <w:rFonts w:cs="Arial"/>
          <w:b/>
          <w:bCs/>
          <w:sz w:val="24"/>
          <w:lang w:val="en-US" w:eastAsia="ja-JP"/>
        </w:rPr>
        <w:t>2</w:t>
      </w:r>
      <w:r w:rsidR="00D121CA">
        <w:rPr>
          <w:rFonts w:cs="Arial"/>
          <w:b/>
          <w:bCs/>
          <w:sz w:val="24"/>
          <w:lang w:val="en-US" w:eastAsia="ja-JP"/>
        </w:rPr>
        <w:t>.</w:t>
      </w:r>
      <w:r w:rsidR="009B072B">
        <w:rPr>
          <w:rFonts w:cs="Arial"/>
          <w:b/>
          <w:bCs/>
          <w:sz w:val="24"/>
          <w:lang w:val="en-US" w:eastAsia="ja-JP"/>
        </w:rPr>
        <w:t>3.2</w:t>
      </w:r>
    </w:p>
    <w:p w14:paraId="6A1BC0C1" w14:textId="4B2EA55D" w:rsidR="00CD4C7B" w:rsidRPr="00CE1280" w:rsidRDefault="00CD4C7B" w:rsidP="00CD4C7B">
      <w:pPr>
        <w:tabs>
          <w:tab w:val="left" w:pos="1985"/>
        </w:tabs>
        <w:ind w:left="1985" w:hanging="1985"/>
        <w:rPr>
          <w:rFonts w:ascii="Arial" w:hAnsi="Arial" w:cs="Arial"/>
          <w:b/>
          <w:bCs/>
          <w:sz w:val="24"/>
        </w:rPr>
      </w:pPr>
      <w:r w:rsidRPr="00CE1280">
        <w:rPr>
          <w:rFonts w:ascii="Arial" w:hAnsi="Arial" w:cs="Arial"/>
          <w:b/>
          <w:bCs/>
          <w:sz w:val="24"/>
        </w:rPr>
        <w:t>Source:</w:t>
      </w:r>
      <w:r w:rsidRPr="00CE1280">
        <w:rPr>
          <w:rFonts w:ascii="Arial" w:hAnsi="Arial" w:cs="Arial"/>
          <w:b/>
          <w:bCs/>
          <w:sz w:val="24"/>
        </w:rPr>
        <w:tab/>
      </w:r>
      <w:r w:rsidR="001741A0" w:rsidRPr="00CE1280">
        <w:rPr>
          <w:rFonts w:ascii="Arial" w:hAnsi="Arial" w:cs="Arial"/>
          <w:b/>
          <w:bCs/>
          <w:sz w:val="24"/>
        </w:rPr>
        <w:t>Nokia</w:t>
      </w:r>
      <w:r w:rsidR="00090468" w:rsidRPr="00CE1280">
        <w:rPr>
          <w:rFonts w:ascii="Arial" w:hAnsi="Arial" w:cs="Arial"/>
          <w:b/>
          <w:bCs/>
          <w:sz w:val="24"/>
        </w:rPr>
        <w:t xml:space="preserve">, </w:t>
      </w:r>
      <w:r w:rsidR="00786399" w:rsidRPr="00CE1280">
        <w:rPr>
          <w:rFonts w:ascii="Arial" w:hAnsi="Arial" w:cs="Arial"/>
          <w:b/>
          <w:bCs/>
          <w:sz w:val="24"/>
        </w:rPr>
        <w:t>Nokia</w:t>
      </w:r>
      <w:r w:rsidR="00090468" w:rsidRPr="00CE1280">
        <w:rPr>
          <w:rFonts w:ascii="Arial" w:hAnsi="Arial" w:cs="Arial"/>
          <w:b/>
          <w:bCs/>
          <w:sz w:val="24"/>
        </w:rPr>
        <w:t xml:space="preserve"> Shanghai Bell</w:t>
      </w:r>
    </w:p>
    <w:p w14:paraId="45BE90BE" w14:textId="1902B411" w:rsidR="00CD4C7B" w:rsidRPr="00CE1280" w:rsidRDefault="00CD4C7B" w:rsidP="00CD4C7B">
      <w:pPr>
        <w:ind w:left="1985" w:hanging="1985"/>
        <w:rPr>
          <w:rFonts w:ascii="Arial" w:hAnsi="Arial" w:cs="Arial"/>
          <w:b/>
          <w:bCs/>
          <w:sz w:val="24"/>
        </w:rPr>
      </w:pPr>
      <w:r w:rsidRPr="00CE1280">
        <w:rPr>
          <w:rFonts w:ascii="Arial" w:hAnsi="Arial" w:cs="Arial"/>
          <w:b/>
          <w:bCs/>
          <w:sz w:val="24"/>
        </w:rPr>
        <w:t>Title:</w:t>
      </w:r>
      <w:r w:rsidRPr="00CE1280">
        <w:rPr>
          <w:rFonts w:ascii="Arial" w:hAnsi="Arial" w:cs="Arial"/>
          <w:b/>
          <w:bCs/>
          <w:sz w:val="24"/>
        </w:rPr>
        <w:tab/>
      </w:r>
      <w:r w:rsidR="009B072B">
        <w:rPr>
          <w:rFonts w:ascii="Arial" w:hAnsi="Arial" w:cs="Arial"/>
          <w:b/>
          <w:bCs/>
          <w:sz w:val="24"/>
        </w:rPr>
        <w:t xml:space="preserve">Evaluation </w:t>
      </w:r>
      <w:r w:rsidR="002044C6">
        <w:rPr>
          <w:rFonts w:ascii="Arial" w:hAnsi="Arial" w:cs="Arial"/>
          <w:b/>
          <w:bCs/>
          <w:sz w:val="24"/>
        </w:rPr>
        <w:t>of</w:t>
      </w:r>
      <w:r w:rsidR="009B072B">
        <w:rPr>
          <w:rFonts w:ascii="Arial" w:hAnsi="Arial" w:cs="Arial"/>
          <w:b/>
          <w:bCs/>
          <w:sz w:val="24"/>
        </w:rPr>
        <w:t xml:space="preserve"> IAB</w:t>
      </w:r>
    </w:p>
    <w:p w14:paraId="7DF86DB4" w14:textId="77777777" w:rsidR="00CD4C7B" w:rsidRPr="00CE1280" w:rsidRDefault="00CD4C7B" w:rsidP="00CD4C7B">
      <w:pPr>
        <w:tabs>
          <w:tab w:val="left" w:pos="1985"/>
        </w:tabs>
        <w:rPr>
          <w:rFonts w:ascii="Arial" w:hAnsi="Arial" w:cs="Arial"/>
          <w:b/>
          <w:bCs/>
          <w:sz w:val="24"/>
        </w:rPr>
      </w:pPr>
      <w:r w:rsidRPr="00CE1280">
        <w:rPr>
          <w:rFonts w:ascii="Arial" w:hAnsi="Arial" w:cs="Arial"/>
          <w:b/>
          <w:bCs/>
          <w:sz w:val="24"/>
        </w:rPr>
        <w:t>Document for:</w:t>
      </w:r>
      <w:r w:rsidRPr="00CE1280">
        <w:rPr>
          <w:rFonts w:ascii="Arial" w:hAnsi="Arial" w:cs="Arial"/>
          <w:b/>
          <w:bCs/>
          <w:sz w:val="24"/>
        </w:rPr>
        <w:tab/>
        <w:t>Discussion and Decision</w:t>
      </w:r>
    </w:p>
    <w:p w14:paraId="3E959691" w14:textId="77777777" w:rsidR="00CD4C7B" w:rsidRPr="00CE1280" w:rsidRDefault="00CD4C7B" w:rsidP="00CD4C7B">
      <w:pPr>
        <w:pStyle w:val="Heading1"/>
        <w:rPr>
          <w:lang w:val="en-US"/>
        </w:rPr>
      </w:pPr>
      <w:r w:rsidRPr="00CE1280">
        <w:rPr>
          <w:lang w:val="en-US"/>
        </w:rPr>
        <w:t>1</w:t>
      </w:r>
      <w:r w:rsidRPr="00CE1280">
        <w:rPr>
          <w:lang w:val="en-US"/>
        </w:rPr>
        <w:tab/>
      </w:r>
      <w:r w:rsidR="0056573F" w:rsidRPr="00CE1280">
        <w:rPr>
          <w:lang w:val="en-US"/>
        </w:rPr>
        <w:t>Introduction</w:t>
      </w:r>
    </w:p>
    <w:p w14:paraId="0BBDFC0A" w14:textId="12BF8829" w:rsidR="00CD4C7B" w:rsidRPr="00CE1280" w:rsidRDefault="00B544CB" w:rsidP="00340E57">
      <w:pPr>
        <w:jc w:val="both"/>
      </w:pPr>
      <w:r w:rsidRPr="00CE1280">
        <w:t xml:space="preserve">The </w:t>
      </w:r>
      <w:r w:rsidR="003A45DF" w:rsidRPr="00CE1280">
        <w:t xml:space="preserve">Integrated Access and Backhaul (IAB) </w:t>
      </w:r>
      <w:r w:rsidRPr="00CE1280">
        <w:t xml:space="preserve">is essential component of NR deployments providing a </w:t>
      </w:r>
      <w:r w:rsidR="00B14469">
        <w:t>mechanism</w:t>
      </w:r>
      <w:r w:rsidRPr="00CE1280">
        <w:t xml:space="preserve"> </w:t>
      </w:r>
      <w:r w:rsidR="00B14469">
        <w:t xml:space="preserve">to achieve </w:t>
      </w:r>
      <w:r w:rsidRPr="00CE1280">
        <w:t>coverage reliability</w:t>
      </w:r>
      <w:r w:rsidR="00B14469">
        <w:t xml:space="preserve"> targets in</w:t>
      </w:r>
      <w:r w:rsidR="00D12CD9">
        <w:t xml:space="preserve"> the</w:t>
      </w:r>
      <w:r w:rsidR="00B14469">
        <w:t xml:space="preserve"> absence of </w:t>
      </w:r>
      <w:r w:rsidR="00E539C3">
        <w:t>available</w:t>
      </w:r>
      <w:r w:rsidR="00B14469">
        <w:t xml:space="preserve"> fiber</w:t>
      </w:r>
      <w:r w:rsidR="00903A01">
        <w:t xml:space="preserve"> </w:t>
      </w:r>
      <w:r w:rsidR="00903A01">
        <w:fldChar w:fldCharType="begin"/>
      </w:r>
      <w:r w:rsidR="00903A01">
        <w:instrText xml:space="preserve"> REF _Ref520898775 \r \h </w:instrText>
      </w:r>
      <w:r w:rsidR="00903A01">
        <w:fldChar w:fldCharType="separate"/>
      </w:r>
      <w:r w:rsidR="00784677">
        <w:t>[1]</w:t>
      </w:r>
      <w:r w:rsidR="00903A01">
        <w:fldChar w:fldCharType="end"/>
      </w:r>
      <w:r w:rsidRPr="00CE1280">
        <w:t xml:space="preserve">.   This contribution </w:t>
      </w:r>
      <w:r w:rsidR="002044C6">
        <w:t xml:space="preserve">provides preliminary results based on the defined evaluation methodology for both the homogeneous UMi and heterogenous dense urban environments </w:t>
      </w:r>
      <w:r w:rsidR="00903A01">
        <w:fldChar w:fldCharType="begin"/>
      </w:r>
      <w:r w:rsidR="00903A01">
        <w:instrText xml:space="preserve"> REF _Ref520898792 \r \h </w:instrText>
      </w:r>
      <w:r w:rsidR="00903A01">
        <w:fldChar w:fldCharType="separate"/>
      </w:r>
      <w:r w:rsidR="00784677">
        <w:t>[2]</w:t>
      </w:r>
      <w:r w:rsidR="00903A01">
        <w:fldChar w:fldCharType="end"/>
      </w:r>
      <w:r w:rsidR="00B811C0">
        <w:t>.</w:t>
      </w:r>
      <w:r w:rsidR="002044C6">
        <w:t xml:space="preserve">  The results show that IAB can provide an improvement in UE average throughput for heavy, medium and low resource utilizations.   They further show that, in most cases, UE cell edge throughput also shows an improvement. </w:t>
      </w:r>
    </w:p>
    <w:p w14:paraId="6B80FE74" w14:textId="10A9F40E" w:rsidR="00903A01" w:rsidRPr="00CE1280" w:rsidRDefault="00903A01" w:rsidP="00903A01">
      <w:pPr>
        <w:pStyle w:val="Heading1"/>
        <w:rPr>
          <w:lang w:val="en-US"/>
        </w:rPr>
      </w:pPr>
      <w:r w:rsidRPr="00CE1280">
        <w:rPr>
          <w:lang w:val="en-US"/>
        </w:rPr>
        <w:t>2</w:t>
      </w:r>
      <w:r w:rsidRPr="00CE1280">
        <w:rPr>
          <w:lang w:val="en-US"/>
        </w:rPr>
        <w:tab/>
      </w:r>
      <w:r>
        <w:rPr>
          <w:lang w:val="en-US"/>
        </w:rPr>
        <w:t>Scenario</w:t>
      </w:r>
      <w:r w:rsidR="000064B2">
        <w:rPr>
          <w:lang w:val="en-US"/>
        </w:rPr>
        <w:t>s</w:t>
      </w:r>
    </w:p>
    <w:p w14:paraId="4EAE9696" w14:textId="05960D8F" w:rsidR="00903A01" w:rsidRDefault="00903A01" w:rsidP="00903A01">
      <w:pPr>
        <w:jc w:val="both"/>
      </w:pPr>
      <w:r>
        <w:t>Three cases were evaluated in this simulation campaign based the IAB evaluation methodology.</w:t>
      </w:r>
    </w:p>
    <w:p w14:paraId="20047C25" w14:textId="1B77CCFA" w:rsidR="00903A01" w:rsidRDefault="00903A01" w:rsidP="000064B2">
      <w:pPr>
        <w:ind w:left="284"/>
        <w:jc w:val="both"/>
      </w:pPr>
      <w:r>
        <w:t xml:space="preserve">Case 1)   </w:t>
      </w:r>
      <w:r w:rsidR="000064B2">
        <w:t>Homogeneous</w:t>
      </w:r>
      <w:r>
        <w:t xml:space="preserve"> UMi </w:t>
      </w:r>
      <w:bookmarkStart w:id="0" w:name="_Hlk520900875"/>
      <w:r>
        <w:t>–</w:t>
      </w:r>
      <w:bookmarkEnd w:id="0"/>
      <w:r>
        <w:t xml:space="preserve"> 3 Donor </w:t>
      </w:r>
      <w:r w:rsidR="000064B2">
        <w:t>Nodes, 16 IAB Nodes (3,16)</w:t>
      </w:r>
    </w:p>
    <w:p w14:paraId="28370FA5" w14:textId="6809C732" w:rsidR="000064B2" w:rsidRDefault="000064B2" w:rsidP="000064B2">
      <w:pPr>
        <w:pStyle w:val="ListParagraph"/>
        <w:numPr>
          <w:ilvl w:val="0"/>
          <w:numId w:val="8"/>
        </w:numPr>
        <w:jc w:val="both"/>
      </w:pPr>
      <w:proofErr w:type="spellStart"/>
      <w:r>
        <w:t>Ndonor</w:t>
      </w:r>
      <w:proofErr w:type="spellEnd"/>
      <w:r>
        <w:t xml:space="preserve"> = 3</w:t>
      </w:r>
    </w:p>
    <w:p w14:paraId="5A2BB655" w14:textId="2227A09D" w:rsidR="000064B2" w:rsidRDefault="000064B2" w:rsidP="000064B2">
      <w:pPr>
        <w:pStyle w:val="ListParagraph"/>
        <w:numPr>
          <w:ilvl w:val="0"/>
          <w:numId w:val="8"/>
        </w:numPr>
        <w:jc w:val="both"/>
      </w:pPr>
      <w:r>
        <w:t>ISD = 200m</w:t>
      </w:r>
    </w:p>
    <w:p w14:paraId="4AE5EEB2" w14:textId="00EB3432" w:rsidR="000064B2" w:rsidRDefault="000064B2" w:rsidP="000064B2">
      <w:pPr>
        <w:pStyle w:val="ListParagraph"/>
        <w:numPr>
          <w:ilvl w:val="0"/>
          <w:numId w:val="8"/>
        </w:numPr>
        <w:jc w:val="both"/>
      </w:pPr>
      <w:r>
        <w:t>Carrier frequency = 30 GHz</w:t>
      </w:r>
    </w:p>
    <w:p w14:paraId="70F9FBC9" w14:textId="77777777" w:rsidR="000064B2" w:rsidRDefault="000064B2" w:rsidP="000064B2">
      <w:pPr>
        <w:pStyle w:val="ListParagraph"/>
        <w:numPr>
          <w:ilvl w:val="0"/>
          <w:numId w:val="8"/>
        </w:numPr>
        <w:jc w:val="both"/>
      </w:pPr>
      <w:r>
        <w:t>Topology formation:  Maximum Spectral Efficiency</w:t>
      </w:r>
    </w:p>
    <w:p w14:paraId="52101A13" w14:textId="5394E4AE" w:rsidR="000064B2" w:rsidRDefault="000064B2" w:rsidP="000064B2">
      <w:pPr>
        <w:pStyle w:val="ListParagraph"/>
        <w:numPr>
          <w:ilvl w:val="0"/>
          <w:numId w:val="8"/>
        </w:numPr>
        <w:jc w:val="both"/>
      </w:pPr>
      <w:r>
        <w:t>Bandwidth = 400 MHz</w:t>
      </w:r>
    </w:p>
    <w:p w14:paraId="1215BC2F" w14:textId="526AE275" w:rsidR="00C652B9" w:rsidRDefault="00C652B9" w:rsidP="000064B2">
      <w:pPr>
        <w:pStyle w:val="ListParagraph"/>
        <w:numPr>
          <w:ilvl w:val="0"/>
          <w:numId w:val="8"/>
        </w:numPr>
        <w:jc w:val="both"/>
      </w:pPr>
      <w:r>
        <w:t xml:space="preserve">Dynamic TDD is assumed </w:t>
      </w:r>
    </w:p>
    <w:p w14:paraId="425AFACD" w14:textId="0D5E630E" w:rsidR="00FA62E2" w:rsidRDefault="00FA62E2" w:rsidP="000064B2">
      <w:pPr>
        <w:pStyle w:val="ListParagraph"/>
        <w:numPr>
          <w:ilvl w:val="0"/>
          <w:numId w:val="8"/>
        </w:numPr>
        <w:jc w:val="both"/>
      </w:pPr>
      <w:r>
        <w:t>gNB = 16x16 array</w:t>
      </w:r>
    </w:p>
    <w:p w14:paraId="790ABE17" w14:textId="4EF00314" w:rsidR="00FA62E2" w:rsidRDefault="00FA62E2" w:rsidP="000064B2">
      <w:pPr>
        <w:pStyle w:val="ListParagraph"/>
        <w:numPr>
          <w:ilvl w:val="0"/>
          <w:numId w:val="8"/>
        </w:numPr>
        <w:jc w:val="both"/>
      </w:pPr>
      <w:r>
        <w:t>UE = 4x4</w:t>
      </w:r>
      <w:r w:rsidR="00900580">
        <w:t>x2</w:t>
      </w:r>
      <w:r>
        <w:t xml:space="preserve"> array, 2 panels, best panel active</w:t>
      </w:r>
    </w:p>
    <w:p w14:paraId="156756F3" w14:textId="6AA957D4" w:rsidR="000064B2" w:rsidRPr="00061049" w:rsidRDefault="004E58BA" w:rsidP="000064B2">
      <w:pPr>
        <w:pStyle w:val="ListParagraph"/>
        <w:numPr>
          <w:ilvl w:val="0"/>
          <w:numId w:val="8"/>
        </w:numPr>
        <w:jc w:val="both"/>
        <w:rPr>
          <w:i/>
        </w:rPr>
      </w:pPr>
      <w:r w:rsidRPr="004E58BA">
        <w:rPr>
          <w:i/>
        </w:rPr>
        <w:t>100% of the UEs were placed outdoors</w:t>
      </w:r>
    </w:p>
    <w:p w14:paraId="5DFF65EA" w14:textId="321A51A7" w:rsidR="000064B2" w:rsidRDefault="000064B2" w:rsidP="000064B2">
      <w:pPr>
        <w:ind w:left="284"/>
        <w:jc w:val="both"/>
      </w:pPr>
      <w:r>
        <w:t>Case 2)   Homogeneous UMi – 7 Donor Nodes, 12 IAB Nodes (</w:t>
      </w:r>
      <w:r w:rsidR="00221A4F">
        <w:t>7</w:t>
      </w:r>
      <w:r>
        <w:t>,</w:t>
      </w:r>
      <w:r w:rsidR="00221A4F">
        <w:t>12</w:t>
      </w:r>
      <w:r>
        <w:t>)</w:t>
      </w:r>
    </w:p>
    <w:p w14:paraId="29F5ACB5" w14:textId="2F1628B3" w:rsidR="000064B2" w:rsidRDefault="000064B2" w:rsidP="000064B2">
      <w:pPr>
        <w:pStyle w:val="ListParagraph"/>
        <w:numPr>
          <w:ilvl w:val="0"/>
          <w:numId w:val="8"/>
        </w:numPr>
        <w:jc w:val="both"/>
      </w:pPr>
      <w:proofErr w:type="spellStart"/>
      <w:r>
        <w:t>Ndonor</w:t>
      </w:r>
      <w:proofErr w:type="spellEnd"/>
      <w:r>
        <w:t xml:space="preserve"> = 7</w:t>
      </w:r>
    </w:p>
    <w:p w14:paraId="50EF6868" w14:textId="77777777" w:rsidR="000064B2" w:rsidRDefault="000064B2" w:rsidP="000064B2">
      <w:pPr>
        <w:pStyle w:val="ListParagraph"/>
        <w:numPr>
          <w:ilvl w:val="0"/>
          <w:numId w:val="8"/>
        </w:numPr>
        <w:jc w:val="both"/>
      </w:pPr>
      <w:r>
        <w:t>ISD = 200m</w:t>
      </w:r>
    </w:p>
    <w:p w14:paraId="0B8530A8" w14:textId="77777777" w:rsidR="000064B2" w:rsidRDefault="000064B2" w:rsidP="000064B2">
      <w:pPr>
        <w:pStyle w:val="ListParagraph"/>
        <w:numPr>
          <w:ilvl w:val="0"/>
          <w:numId w:val="8"/>
        </w:numPr>
        <w:jc w:val="both"/>
      </w:pPr>
      <w:r>
        <w:t>Carrier frequency = 30 GHz</w:t>
      </w:r>
    </w:p>
    <w:p w14:paraId="0FA84C77" w14:textId="77777777" w:rsidR="000064B2" w:rsidRDefault="000064B2" w:rsidP="000064B2">
      <w:pPr>
        <w:pStyle w:val="ListParagraph"/>
        <w:numPr>
          <w:ilvl w:val="0"/>
          <w:numId w:val="8"/>
        </w:numPr>
        <w:jc w:val="both"/>
      </w:pPr>
      <w:r>
        <w:t>Topology formation:  Maximum Spectral Efficiency</w:t>
      </w:r>
    </w:p>
    <w:p w14:paraId="468A23E2" w14:textId="5D7E4222" w:rsidR="000064B2" w:rsidRDefault="000064B2" w:rsidP="000064B2">
      <w:pPr>
        <w:pStyle w:val="ListParagraph"/>
        <w:numPr>
          <w:ilvl w:val="0"/>
          <w:numId w:val="8"/>
        </w:numPr>
        <w:jc w:val="both"/>
      </w:pPr>
      <w:r>
        <w:t>Bandwidth = 400 MHz</w:t>
      </w:r>
    </w:p>
    <w:p w14:paraId="4FBBF748" w14:textId="697E7AC4" w:rsidR="00C652B9" w:rsidRDefault="00C652B9" w:rsidP="00C652B9">
      <w:pPr>
        <w:pStyle w:val="ListParagraph"/>
        <w:numPr>
          <w:ilvl w:val="0"/>
          <w:numId w:val="8"/>
        </w:numPr>
        <w:jc w:val="both"/>
      </w:pPr>
      <w:r>
        <w:t xml:space="preserve">Dynamic TDD is assumed </w:t>
      </w:r>
    </w:p>
    <w:p w14:paraId="329987A2" w14:textId="77777777" w:rsidR="00061049" w:rsidRDefault="00061049" w:rsidP="00061049">
      <w:pPr>
        <w:pStyle w:val="ListParagraph"/>
        <w:numPr>
          <w:ilvl w:val="0"/>
          <w:numId w:val="8"/>
        </w:numPr>
        <w:jc w:val="both"/>
      </w:pPr>
      <w:r>
        <w:t>gNB = 16x16 array</w:t>
      </w:r>
    </w:p>
    <w:p w14:paraId="661E4713" w14:textId="1EECA870" w:rsidR="00061049" w:rsidRDefault="00061049" w:rsidP="00061049">
      <w:pPr>
        <w:pStyle w:val="ListParagraph"/>
        <w:numPr>
          <w:ilvl w:val="0"/>
          <w:numId w:val="8"/>
        </w:numPr>
        <w:jc w:val="both"/>
      </w:pPr>
      <w:r>
        <w:t xml:space="preserve">UE = </w:t>
      </w:r>
      <w:r w:rsidR="00900580">
        <w:t xml:space="preserve">4x4x2 </w:t>
      </w:r>
      <w:r>
        <w:t>array, 2 panels, best panel active</w:t>
      </w:r>
    </w:p>
    <w:p w14:paraId="0A40FEA8" w14:textId="0E0532D4" w:rsidR="000064B2" w:rsidRPr="00061049" w:rsidRDefault="004E58BA" w:rsidP="000064B2">
      <w:pPr>
        <w:pStyle w:val="ListParagraph"/>
        <w:numPr>
          <w:ilvl w:val="0"/>
          <w:numId w:val="8"/>
        </w:numPr>
        <w:jc w:val="both"/>
        <w:rPr>
          <w:i/>
        </w:rPr>
      </w:pPr>
      <w:r w:rsidRPr="004E58BA">
        <w:rPr>
          <w:i/>
        </w:rPr>
        <w:t>100% of the UEs were placed outdoors</w:t>
      </w:r>
    </w:p>
    <w:p w14:paraId="6C5F8D92" w14:textId="2E0A7E61" w:rsidR="000064B2" w:rsidRDefault="000064B2" w:rsidP="000064B2">
      <w:pPr>
        <w:ind w:left="284"/>
        <w:jc w:val="both"/>
      </w:pPr>
      <w:r>
        <w:t xml:space="preserve">Case 3)   </w:t>
      </w:r>
      <w:bookmarkStart w:id="1" w:name="_Hlk520901188"/>
      <w:r>
        <w:t xml:space="preserve">Heterogeneous Dense Urban – 7 Donor Nodes, 63 IAB Nodes </w:t>
      </w:r>
      <w:bookmarkEnd w:id="1"/>
      <w:r>
        <w:t>(</w:t>
      </w:r>
      <w:r w:rsidR="00221A4F">
        <w:t>7</w:t>
      </w:r>
      <w:r>
        <w:t>,</w:t>
      </w:r>
      <w:r w:rsidR="00221A4F">
        <w:t>63</w:t>
      </w:r>
      <w:r>
        <w:t>)</w:t>
      </w:r>
    </w:p>
    <w:p w14:paraId="16A4AA5D" w14:textId="77777777" w:rsidR="000064B2" w:rsidRDefault="000064B2" w:rsidP="000064B2">
      <w:pPr>
        <w:pStyle w:val="ListParagraph"/>
        <w:numPr>
          <w:ilvl w:val="0"/>
          <w:numId w:val="8"/>
        </w:numPr>
        <w:jc w:val="both"/>
      </w:pPr>
      <w:r w:rsidRPr="000064B2">
        <w:t>3 micro BSs per macro BS</w:t>
      </w:r>
    </w:p>
    <w:p w14:paraId="78AB5540" w14:textId="6836BAAF" w:rsidR="000064B2" w:rsidRDefault="000064B2" w:rsidP="000064B2">
      <w:pPr>
        <w:pStyle w:val="ListParagraph"/>
        <w:numPr>
          <w:ilvl w:val="0"/>
          <w:numId w:val="8"/>
        </w:numPr>
        <w:jc w:val="both"/>
      </w:pPr>
      <w:r>
        <w:t>ISD = 200m</w:t>
      </w:r>
    </w:p>
    <w:p w14:paraId="5FF27754" w14:textId="77777777" w:rsidR="000064B2" w:rsidRDefault="000064B2" w:rsidP="000064B2">
      <w:pPr>
        <w:pStyle w:val="ListParagraph"/>
        <w:numPr>
          <w:ilvl w:val="0"/>
          <w:numId w:val="8"/>
        </w:numPr>
        <w:jc w:val="both"/>
      </w:pPr>
      <w:r>
        <w:t>Carrier frequency = 30 GHz</w:t>
      </w:r>
    </w:p>
    <w:p w14:paraId="73D8ADC0" w14:textId="77777777" w:rsidR="000064B2" w:rsidRDefault="000064B2" w:rsidP="000064B2">
      <w:pPr>
        <w:pStyle w:val="ListParagraph"/>
        <w:numPr>
          <w:ilvl w:val="0"/>
          <w:numId w:val="8"/>
        </w:numPr>
        <w:jc w:val="both"/>
      </w:pPr>
      <w:r>
        <w:t>Topology formation:  Maximum Spectral Efficiency</w:t>
      </w:r>
    </w:p>
    <w:p w14:paraId="5A8E8F97" w14:textId="61E4FA49" w:rsidR="000064B2" w:rsidRDefault="000064B2" w:rsidP="000064B2">
      <w:pPr>
        <w:pStyle w:val="ListParagraph"/>
        <w:numPr>
          <w:ilvl w:val="0"/>
          <w:numId w:val="8"/>
        </w:numPr>
        <w:jc w:val="both"/>
      </w:pPr>
      <w:r>
        <w:t>Bandwidth = 400 MHz</w:t>
      </w:r>
    </w:p>
    <w:p w14:paraId="6E4E1677" w14:textId="3438B05C" w:rsidR="00C652B9" w:rsidRDefault="00C652B9" w:rsidP="00C652B9">
      <w:pPr>
        <w:pStyle w:val="ListParagraph"/>
        <w:numPr>
          <w:ilvl w:val="0"/>
          <w:numId w:val="8"/>
        </w:numPr>
        <w:jc w:val="both"/>
      </w:pPr>
      <w:r>
        <w:t xml:space="preserve">Dynamic TDD is assumed </w:t>
      </w:r>
    </w:p>
    <w:p w14:paraId="7BDDF972" w14:textId="77777777" w:rsidR="00061049" w:rsidRDefault="00061049" w:rsidP="00061049">
      <w:pPr>
        <w:pStyle w:val="ListParagraph"/>
        <w:numPr>
          <w:ilvl w:val="0"/>
          <w:numId w:val="8"/>
        </w:numPr>
        <w:jc w:val="both"/>
      </w:pPr>
      <w:r>
        <w:t>gNB = 16x16 array</w:t>
      </w:r>
    </w:p>
    <w:p w14:paraId="0DB7775D" w14:textId="308FA853" w:rsidR="00061049" w:rsidRDefault="00061049" w:rsidP="00061049">
      <w:pPr>
        <w:pStyle w:val="ListParagraph"/>
        <w:numPr>
          <w:ilvl w:val="0"/>
          <w:numId w:val="8"/>
        </w:numPr>
        <w:jc w:val="both"/>
      </w:pPr>
      <w:r>
        <w:t xml:space="preserve">UE = </w:t>
      </w:r>
      <w:r w:rsidR="00900580">
        <w:t>4x4x2</w:t>
      </w:r>
      <w:r>
        <w:t xml:space="preserve"> array, 2 panels, best panel active</w:t>
      </w:r>
    </w:p>
    <w:p w14:paraId="322BF5B7" w14:textId="14098440" w:rsidR="00C652B9" w:rsidRPr="004E58BA" w:rsidRDefault="00C652B9" w:rsidP="00C652B9">
      <w:pPr>
        <w:pStyle w:val="ListParagraph"/>
        <w:numPr>
          <w:ilvl w:val="0"/>
          <w:numId w:val="8"/>
        </w:numPr>
        <w:jc w:val="both"/>
        <w:rPr>
          <w:i/>
        </w:rPr>
      </w:pPr>
      <w:r w:rsidRPr="004E58BA">
        <w:rPr>
          <w:i/>
        </w:rPr>
        <w:t>IAB pathloss determination used N=1 in this case only</w:t>
      </w:r>
    </w:p>
    <w:p w14:paraId="127ACA6D" w14:textId="49BD699F" w:rsidR="00CD4C7B" w:rsidRPr="00CE1280" w:rsidRDefault="00903A01" w:rsidP="00CD4C7B">
      <w:pPr>
        <w:pStyle w:val="Heading1"/>
        <w:rPr>
          <w:lang w:val="en-US"/>
        </w:rPr>
      </w:pPr>
      <w:r>
        <w:rPr>
          <w:lang w:val="en-US"/>
        </w:rPr>
        <w:lastRenderedPageBreak/>
        <w:t>3</w:t>
      </w:r>
      <w:r w:rsidR="00CD4C7B" w:rsidRPr="00CE1280">
        <w:rPr>
          <w:lang w:val="en-US"/>
        </w:rPr>
        <w:tab/>
      </w:r>
      <w:r w:rsidR="00567465">
        <w:rPr>
          <w:lang w:val="en-US"/>
        </w:rPr>
        <w:t>Results</w:t>
      </w:r>
    </w:p>
    <w:p w14:paraId="69082275" w14:textId="36A412C3" w:rsidR="0025428B" w:rsidRDefault="000064B2" w:rsidP="0025428B">
      <w:pPr>
        <w:jc w:val="both"/>
      </w:pPr>
      <w:r>
        <w:t xml:space="preserve">Figures </w:t>
      </w:r>
      <w:r w:rsidR="00784677">
        <w:t>1</w:t>
      </w:r>
      <w:r>
        <w:t xml:space="preserve">, </w:t>
      </w:r>
      <w:r w:rsidR="00784677">
        <w:t>2</w:t>
      </w:r>
      <w:r>
        <w:t xml:space="preserve">, and </w:t>
      </w:r>
      <w:r w:rsidR="00784677">
        <w:t>3</w:t>
      </w:r>
      <w:r>
        <w:t xml:space="preserve"> show the normalized UE average and cell edge throughputs for both the downlink and uplink of the three cases evaluated.</w:t>
      </w:r>
      <w:r w:rsidR="00FC0ED6">
        <w:t xml:space="preserve">  Each figure compares the performance with and without the IAB nodes active thus showing the benefit of IAB.    In other words, the baseline “Ave” and “CE” is for the case where only the donor nodes are active modeling a deployment where </w:t>
      </w:r>
      <w:proofErr w:type="spellStart"/>
      <w:r w:rsidR="00FC0ED6">
        <w:t>gNBs</w:t>
      </w:r>
      <w:proofErr w:type="spellEnd"/>
      <w:r w:rsidR="00FC0ED6">
        <w:t xml:space="preserve"> are limited to the available fiber.   The “IAB Ave” and “IAB CE” show the same scenario when additional wireless connected IAB nodes are included in the network to supplement the fiber connected donors.</w:t>
      </w:r>
      <w:r w:rsidR="0025428B">
        <w:t xml:space="preserve">  </w:t>
      </w:r>
      <w:r w:rsidR="00F47D15">
        <w:t xml:space="preserve"> A tabulation of the relative gains for each of the scenarios and respective loads </w:t>
      </w:r>
      <w:r w:rsidR="00171109">
        <w:t>is</w:t>
      </w:r>
      <w:r w:rsidR="00F47D15">
        <w:t xml:space="preserve"> shown in Figure 4.  Lastly, the donor node resource utilization and relative offered load per sector are shown in Figure 5.</w:t>
      </w:r>
    </w:p>
    <w:p w14:paraId="0BB47352" w14:textId="3C216AB9" w:rsidR="00CD4C7B" w:rsidRDefault="00CD4C7B" w:rsidP="00340E57">
      <w:pPr>
        <w:jc w:val="both"/>
      </w:pPr>
    </w:p>
    <w:p w14:paraId="2F3DF350" w14:textId="71A04AF6" w:rsidR="00FC0ED6" w:rsidRDefault="00784677" w:rsidP="00FC0ED6">
      <w:pPr>
        <w:keepNext/>
        <w:jc w:val="both"/>
      </w:pPr>
      <w:r>
        <w:rPr>
          <w:noProof/>
        </w:rPr>
        <w:drawing>
          <wp:inline distT="0" distB="0" distL="0" distR="0" wp14:anchorId="68CB3355" wp14:editId="23093E23">
            <wp:extent cx="6120000" cy="2224800"/>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000" cy="2224800"/>
                    </a:xfrm>
                    <a:prstGeom prst="rect">
                      <a:avLst/>
                    </a:prstGeom>
                    <a:noFill/>
                  </pic:spPr>
                </pic:pic>
              </a:graphicData>
            </a:graphic>
          </wp:inline>
        </w:drawing>
      </w:r>
    </w:p>
    <w:p w14:paraId="4A31772C" w14:textId="32DCABCC" w:rsidR="00567465" w:rsidRDefault="00FC0ED6" w:rsidP="006223C5">
      <w:pPr>
        <w:pStyle w:val="Caption"/>
        <w:jc w:val="center"/>
        <w:rPr>
          <w:rFonts w:ascii="Arial" w:hAnsi="Arial" w:cs="Arial"/>
          <w:b/>
          <w:i w:val="0"/>
          <w:sz w:val="20"/>
        </w:rPr>
      </w:pPr>
      <w:r w:rsidRPr="006223C5">
        <w:rPr>
          <w:rFonts w:ascii="Arial" w:hAnsi="Arial" w:cs="Arial"/>
          <w:b/>
          <w:i w:val="0"/>
          <w:sz w:val="20"/>
        </w:rPr>
        <w:t xml:space="preserve">Figure </w:t>
      </w:r>
      <w:r w:rsidRPr="006223C5">
        <w:rPr>
          <w:rFonts w:ascii="Arial" w:hAnsi="Arial" w:cs="Arial"/>
          <w:b/>
          <w:i w:val="0"/>
          <w:sz w:val="20"/>
        </w:rPr>
        <w:fldChar w:fldCharType="begin"/>
      </w:r>
      <w:r w:rsidRPr="006223C5">
        <w:rPr>
          <w:rFonts w:ascii="Arial" w:hAnsi="Arial" w:cs="Arial"/>
          <w:b/>
          <w:i w:val="0"/>
          <w:sz w:val="20"/>
        </w:rPr>
        <w:instrText xml:space="preserve"> SEQ Figure \* ARABIC </w:instrText>
      </w:r>
      <w:r w:rsidRPr="006223C5">
        <w:rPr>
          <w:rFonts w:ascii="Arial" w:hAnsi="Arial" w:cs="Arial"/>
          <w:b/>
          <w:i w:val="0"/>
          <w:sz w:val="20"/>
        </w:rPr>
        <w:fldChar w:fldCharType="separate"/>
      </w:r>
      <w:r w:rsidR="00784677">
        <w:rPr>
          <w:rFonts w:ascii="Arial" w:hAnsi="Arial" w:cs="Arial"/>
          <w:b/>
          <w:i w:val="0"/>
          <w:noProof/>
          <w:sz w:val="20"/>
        </w:rPr>
        <w:t>1</w:t>
      </w:r>
      <w:r w:rsidRPr="006223C5">
        <w:rPr>
          <w:rFonts w:ascii="Arial" w:hAnsi="Arial" w:cs="Arial"/>
          <w:b/>
          <w:i w:val="0"/>
          <w:sz w:val="20"/>
        </w:rPr>
        <w:fldChar w:fldCharType="end"/>
      </w:r>
      <w:r w:rsidRPr="006223C5">
        <w:rPr>
          <w:rFonts w:ascii="Arial" w:hAnsi="Arial" w:cs="Arial"/>
          <w:b/>
          <w:i w:val="0"/>
          <w:sz w:val="20"/>
        </w:rPr>
        <w:t xml:space="preserve"> </w:t>
      </w:r>
      <w:r w:rsidR="006223C5" w:rsidRPr="006223C5">
        <w:rPr>
          <w:rFonts w:ascii="Arial" w:hAnsi="Arial" w:cs="Arial"/>
          <w:b/>
          <w:i w:val="0"/>
          <w:sz w:val="20"/>
        </w:rPr>
        <w:t>Homogenous</w:t>
      </w:r>
      <w:r w:rsidRPr="006223C5">
        <w:rPr>
          <w:rFonts w:ascii="Arial" w:hAnsi="Arial" w:cs="Arial"/>
          <w:b/>
          <w:i w:val="0"/>
          <w:sz w:val="20"/>
        </w:rPr>
        <w:t xml:space="preserve"> UMi </w:t>
      </w:r>
      <w:r w:rsidR="006223C5" w:rsidRPr="006223C5">
        <w:rPr>
          <w:rFonts w:ascii="Arial" w:hAnsi="Arial" w:cs="Arial"/>
          <w:b/>
          <w:i w:val="0"/>
          <w:sz w:val="20"/>
        </w:rPr>
        <w:t>–</w:t>
      </w:r>
      <w:r w:rsidR="006223C5">
        <w:rPr>
          <w:rFonts w:ascii="Arial" w:hAnsi="Arial" w:cs="Arial"/>
          <w:b/>
          <w:i w:val="0"/>
          <w:sz w:val="20"/>
        </w:rPr>
        <w:t xml:space="preserve"> </w:t>
      </w:r>
      <w:r w:rsidRPr="006223C5">
        <w:rPr>
          <w:rFonts w:ascii="Arial" w:hAnsi="Arial" w:cs="Arial"/>
          <w:b/>
          <w:i w:val="0"/>
          <w:sz w:val="20"/>
        </w:rPr>
        <w:t>3 Donor Nodes, 16 IAB nodes</w:t>
      </w:r>
    </w:p>
    <w:p w14:paraId="38B1B2A9" w14:textId="77777777" w:rsidR="00784677" w:rsidRPr="00784677" w:rsidRDefault="00784677" w:rsidP="00784677"/>
    <w:p w14:paraId="46B89834" w14:textId="20A9A232" w:rsidR="00784677" w:rsidRDefault="00784677" w:rsidP="00784677">
      <w:pPr>
        <w:keepNext/>
        <w:jc w:val="both"/>
      </w:pPr>
      <w:r>
        <w:rPr>
          <w:noProof/>
        </w:rPr>
        <w:drawing>
          <wp:inline distT="0" distB="0" distL="0" distR="0" wp14:anchorId="2E41A5AD" wp14:editId="22939409">
            <wp:extent cx="6120000" cy="2224800"/>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000" cy="2224800"/>
                    </a:xfrm>
                    <a:prstGeom prst="rect">
                      <a:avLst/>
                    </a:prstGeom>
                    <a:noFill/>
                  </pic:spPr>
                </pic:pic>
              </a:graphicData>
            </a:graphic>
          </wp:inline>
        </w:drawing>
      </w:r>
    </w:p>
    <w:p w14:paraId="32B3DBC2" w14:textId="0B5ECD98" w:rsidR="00784677" w:rsidRPr="006223C5" w:rsidRDefault="00784677" w:rsidP="00784677">
      <w:pPr>
        <w:pStyle w:val="Caption"/>
        <w:jc w:val="center"/>
        <w:rPr>
          <w:rFonts w:ascii="Arial" w:hAnsi="Arial" w:cs="Arial"/>
          <w:b/>
          <w:i w:val="0"/>
          <w:sz w:val="20"/>
        </w:rPr>
      </w:pPr>
      <w:r w:rsidRPr="006223C5">
        <w:rPr>
          <w:rFonts w:ascii="Arial" w:hAnsi="Arial" w:cs="Arial"/>
          <w:b/>
          <w:i w:val="0"/>
          <w:sz w:val="20"/>
        </w:rPr>
        <w:t xml:space="preserve">Figure </w:t>
      </w:r>
      <w:r w:rsidRPr="006223C5">
        <w:rPr>
          <w:rFonts w:ascii="Arial" w:hAnsi="Arial" w:cs="Arial"/>
          <w:b/>
          <w:i w:val="0"/>
          <w:sz w:val="20"/>
        </w:rPr>
        <w:fldChar w:fldCharType="begin"/>
      </w:r>
      <w:r w:rsidRPr="006223C5">
        <w:rPr>
          <w:rFonts w:ascii="Arial" w:hAnsi="Arial" w:cs="Arial"/>
          <w:b/>
          <w:i w:val="0"/>
          <w:sz w:val="20"/>
        </w:rPr>
        <w:instrText xml:space="preserve"> SEQ Figure \* ARABIC </w:instrText>
      </w:r>
      <w:r w:rsidRPr="006223C5">
        <w:rPr>
          <w:rFonts w:ascii="Arial" w:hAnsi="Arial" w:cs="Arial"/>
          <w:b/>
          <w:i w:val="0"/>
          <w:sz w:val="20"/>
        </w:rPr>
        <w:fldChar w:fldCharType="separate"/>
      </w:r>
      <w:r>
        <w:rPr>
          <w:rFonts w:ascii="Arial" w:hAnsi="Arial" w:cs="Arial"/>
          <w:b/>
          <w:i w:val="0"/>
          <w:noProof/>
          <w:sz w:val="20"/>
        </w:rPr>
        <w:t>2</w:t>
      </w:r>
      <w:r w:rsidRPr="006223C5">
        <w:rPr>
          <w:rFonts w:ascii="Arial" w:hAnsi="Arial" w:cs="Arial"/>
          <w:b/>
          <w:i w:val="0"/>
          <w:sz w:val="20"/>
        </w:rPr>
        <w:fldChar w:fldCharType="end"/>
      </w:r>
      <w:r w:rsidRPr="006223C5">
        <w:rPr>
          <w:rFonts w:ascii="Arial" w:hAnsi="Arial" w:cs="Arial"/>
          <w:b/>
          <w:i w:val="0"/>
          <w:sz w:val="20"/>
        </w:rPr>
        <w:t xml:space="preserve"> Homogenous UMi –</w:t>
      </w:r>
      <w:r>
        <w:rPr>
          <w:rFonts w:ascii="Arial" w:hAnsi="Arial" w:cs="Arial"/>
          <w:b/>
          <w:i w:val="0"/>
          <w:sz w:val="20"/>
        </w:rPr>
        <w:t xml:space="preserve"> 7</w:t>
      </w:r>
      <w:r w:rsidRPr="006223C5">
        <w:rPr>
          <w:rFonts w:ascii="Arial" w:hAnsi="Arial" w:cs="Arial"/>
          <w:b/>
          <w:i w:val="0"/>
          <w:sz w:val="20"/>
        </w:rPr>
        <w:t xml:space="preserve"> Donor Nodes, </w:t>
      </w:r>
      <w:r>
        <w:rPr>
          <w:rFonts w:ascii="Arial" w:hAnsi="Arial" w:cs="Arial"/>
          <w:b/>
          <w:i w:val="0"/>
          <w:sz w:val="20"/>
        </w:rPr>
        <w:t>12</w:t>
      </w:r>
      <w:r w:rsidRPr="006223C5">
        <w:rPr>
          <w:rFonts w:ascii="Arial" w:hAnsi="Arial" w:cs="Arial"/>
          <w:b/>
          <w:i w:val="0"/>
          <w:sz w:val="20"/>
        </w:rPr>
        <w:t xml:space="preserve"> IAB nodes</w:t>
      </w:r>
    </w:p>
    <w:p w14:paraId="5F63909D" w14:textId="70077255" w:rsidR="00784677" w:rsidRDefault="00986145" w:rsidP="00784677">
      <w:pPr>
        <w:keepNext/>
        <w:jc w:val="both"/>
      </w:pPr>
      <w:r>
        <w:rPr>
          <w:noProof/>
        </w:rPr>
        <w:lastRenderedPageBreak/>
        <w:drawing>
          <wp:inline distT="0" distB="0" distL="0" distR="0" wp14:anchorId="1488BA16" wp14:editId="74A1B4F2">
            <wp:extent cx="6120000" cy="2224800"/>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000" cy="2224800"/>
                    </a:xfrm>
                    <a:prstGeom prst="rect">
                      <a:avLst/>
                    </a:prstGeom>
                    <a:noFill/>
                  </pic:spPr>
                </pic:pic>
              </a:graphicData>
            </a:graphic>
          </wp:inline>
        </w:drawing>
      </w:r>
    </w:p>
    <w:p w14:paraId="09AFD093" w14:textId="305A5F1C" w:rsidR="00784677" w:rsidRPr="006223C5" w:rsidRDefault="00784677" w:rsidP="00784677">
      <w:pPr>
        <w:pStyle w:val="Caption"/>
        <w:jc w:val="center"/>
        <w:rPr>
          <w:rFonts w:ascii="Arial" w:hAnsi="Arial" w:cs="Arial"/>
          <w:b/>
          <w:i w:val="0"/>
          <w:sz w:val="20"/>
        </w:rPr>
      </w:pPr>
      <w:r w:rsidRPr="006223C5">
        <w:rPr>
          <w:rFonts w:ascii="Arial" w:hAnsi="Arial" w:cs="Arial"/>
          <w:b/>
          <w:i w:val="0"/>
          <w:sz w:val="20"/>
        </w:rPr>
        <w:t xml:space="preserve">Figure </w:t>
      </w:r>
      <w:r w:rsidRPr="006223C5">
        <w:rPr>
          <w:rFonts w:ascii="Arial" w:hAnsi="Arial" w:cs="Arial"/>
          <w:b/>
          <w:i w:val="0"/>
          <w:sz w:val="20"/>
        </w:rPr>
        <w:fldChar w:fldCharType="begin"/>
      </w:r>
      <w:r w:rsidRPr="006223C5">
        <w:rPr>
          <w:rFonts w:ascii="Arial" w:hAnsi="Arial" w:cs="Arial"/>
          <w:b/>
          <w:i w:val="0"/>
          <w:sz w:val="20"/>
        </w:rPr>
        <w:instrText xml:space="preserve"> SEQ Figure \* ARABIC </w:instrText>
      </w:r>
      <w:r w:rsidRPr="006223C5">
        <w:rPr>
          <w:rFonts w:ascii="Arial" w:hAnsi="Arial" w:cs="Arial"/>
          <w:b/>
          <w:i w:val="0"/>
          <w:sz w:val="20"/>
        </w:rPr>
        <w:fldChar w:fldCharType="separate"/>
      </w:r>
      <w:r>
        <w:rPr>
          <w:rFonts w:ascii="Arial" w:hAnsi="Arial" w:cs="Arial"/>
          <w:b/>
          <w:i w:val="0"/>
          <w:noProof/>
          <w:sz w:val="20"/>
        </w:rPr>
        <w:t>3</w:t>
      </w:r>
      <w:r w:rsidRPr="006223C5">
        <w:rPr>
          <w:rFonts w:ascii="Arial" w:hAnsi="Arial" w:cs="Arial"/>
          <w:b/>
          <w:i w:val="0"/>
          <w:sz w:val="20"/>
        </w:rPr>
        <w:fldChar w:fldCharType="end"/>
      </w:r>
      <w:r w:rsidRPr="006223C5">
        <w:rPr>
          <w:rFonts w:ascii="Arial" w:hAnsi="Arial" w:cs="Arial"/>
          <w:b/>
          <w:i w:val="0"/>
          <w:sz w:val="20"/>
        </w:rPr>
        <w:t xml:space="preserve"> </w:t>
      </w:r>
      <w:r w:rsidRPr="00784677">
        <w:rPr>
          <w:rFonts w:ascii="Arial" w:hAnsi="Arial" w:cs="Arial"/>
          <w:b/>
          <w:i w:val="0"/>
          <w:sz w:val="20"/>
        </w:rPr>
        <w:t>Heterogeneous Dense Urban – 7 Donor Nodes, 63 IAB Nodes</w:t>
      </w:r>
    </w:p>
    <w:p w14:paraId="352AD19F" w14:textId="77777777" w:rsidR="00784677" w:rsidRPr="00784677" w:rsidRDefault="00784677" w:rsidP="00784677"/>
    <w:p w14:paraId="104DD16A" w14:textId="49EFE097" w:rsidR="00E87D81" w:rsidRDefault="00986145" w:rsidP="0025428B">
      <w:pPr>
        <w:keepNext/>
        <w:jc w:val="center"/>
      </w:pPr>
      <w:r>
        <w:rPr>
          <w:noProof/>
        </w:rPr>
        <w:drawing>
          <wp:inline distT="0" distB="0" distL="0" distR="0" wp14:anchorId="2885EF1D" wp14:editId="4E9EA900">
            <wp:extent cx="5767070" cy="2377440"/>
            <wp:effectExtent l="0" t="0" r="508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7070" cy="2377440"/>
                    </a:xfrm>
                    <a:prstGeom prst="rect">
                      <a:avLst/>
                    </a:prstGeom>
                    <a:noFill/>
                  </pic:spPr>
                </pic:pic>
              </a:graphicData>
            </a:graphic>
          </wp:inline>
        </w:drawing>
      </w:r>
    </w:p>
    <w:p w14:paraId="14678F46" w14:textId="6EEE70CF" w:rsidR="00E87D81" w:rsidRDefault="00E87D81" w:rsidP="00E87D81">
      <w:pPr>
        <w:pStyle w:val="Caption"/>
        <w:jc w:val="center"/>
        <w:rPr>
          <w:rFonts w:ascii="Arial" w:hAnsi="Arial" w:cs="Arial"/>
          <w:b/>
          <w:i w:val="0"/>
          <w:sz w:val="20"/>
        </w:rPr>
      </w:pPr>
      <w:r w:rsidRPr="006223C5">
        <w:rPr>
          <w:rFonts w:ascii="Arial" w:hAnsi="Arial" w:cs="Arial"/>
          <w:b/>
          <w:i w:val="0"/>
          <w:sz w:val="20"/>
        </w:rPr>
        <w:t xml:space="preserve">Figure </w:t>
      </w:r>
      <w:r w:rsidRPr="006223C5">
        <w:rPr>
          <w:rFonts w:ascii="Arial" w:hAnsi="Arial" w:cs="Arial"/>
          <w:b/>
          <w:i w:val="0"/>
          <w:sz w:val="20"/>
        </w:rPr>
        <w:fldChar w:fldCharType="begin"/>
      </w:r>
      <w:r w:rsidRPr="006223C5">
        <w:rPr>
          <w:rFonts w:ascii="Arial" w:hAnsi="Arial" w:cs="Arial"/>
          <w:b/>
          <w:i w:val="0"/>
          <w:sz w:val="20"/>
        </w:rPr>
        <w:instrText xml:space="preserve"> SEQ Figure \* ARABIC </w:instrText>
      </w:r>
      <w:r w:rsidRPr="006223C5">
        <w:rPr>
          <w:rFonts w:ascii="Arial" w:hAnsi="Arial" w:cs="Arial"/>
          <w:b/>
          <w:i w:val="0"/>
          <w:sz w:val="20"/>
        </w:rPr>
        <w:fldChar w:fldCharType="separate"/>
      </w:r>
      <w:r w:rsidR="00986145">
        <w:rPr>
          <w:rFonts w:ascii="Arial" w:hAnsi="Arial" w:cs="Arial"/>
          <w:b/>
          <w:i w:val="0"/>
          <w:noProof/>
          <w:sz w:val="20"/>
        </w:rPr>
        <w:t>4</w:t>
      </w:r>
      <w:r w:rsidRPr="006223C5">
        <w:rPr>
          <w:rFonts w:ascii="Arial" w:hAnsi="Arial" w:cs="Arial"/>
          <w:b/>
          <w:i w:val="0"/>
          <w:sz w:val="20"/>
        </w:rPr>
        <w:fldChar w:fldCharType="end"/>
      </w:r>
      <w:r w:rsidRPr="006223C5">
        <w:rPr>
          <w:rFonts w:ascii="Arial" w:hAnsi="Arial" w:cs="Arial"/>
          <w:b/>
          <w:i w:val="0"/>
          <w:sz w:val="20"/>
        </w:rPr>
        <w:t xml:space="preserve"> </w:t>
      </w:r>
      <w:r w:rsidR="00986145">
        <w:rPr>
          <w:rFonts w:ascii="Arial" w:hAnsi="Arial" w:cs="Arial"/>
          <w:b/>
          <w:i w:val="0"/>
          <w:sz w:val="20"/>
        </w:rPr>
        <w:t>Performance gains from IAB for the simulated scenarios</w:t>
      </w:r>
    </w:p>
    <w:p w14:paraId="1B76ACA9" w14:textId="4676A348" w:rsidR="00986145" w:rsidRDefault="00B00E97" w:rsidP="00986145">
      <w:pPr>
        <w:keepNext/>
        <w:jc w:val="center"/>
      </w:pPr>
      <w:r>
        <w:rPr>
          <w:noProof/>
        </w:rPr>
        <w:drawing>
          <wp:inline distT="0" distB="0" distL="0" distR="0" wp14:anchorId="1AC5303C" wp14:editId="1C870F4E">
            <wp:extent cx="5767070" cy="110934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7070" cy="1109345"/>
                    </a:xfrm>
                    <a:prstGeom prst="rect">
                      <a:avLst/>
                    </a:prstGeom>
                    <a:noFill/>
                  </pic:spPr>
                </pic:pic>
              </a:graphicData>
            </a:graphic>
          </wp:inline>
        </w:drawing>
      </w:r>
    </w:p>
    <w:p w14:paraId="32CA989A" w14:textId="27E581C4" w:rsidR="00986145" w:rsidRPr="006223C5" w:rsidRDefault="00986145" w:rsidP="00986145">
      <w:pPr>
        <w:pStyle w:val="Caption"/>
        <w:jc w:val="center"/>
        <w:rPr>
          <w:rFonts w:ascii="Arial" w:hAnsi="Arial" w:cs="Arial"/>
          <w:b/>
          <w:i w:val="0"/>
          <w:sz w:val="20"/>
        </w:rPr>
      </w:pPr>
      <w:r w:rsidRPr="006223C5">
        <w:rPr>
          <w:rFonts w:ascii="Arial" w:hAnsi="Arial" w:cs="Arial"/>
          <w:b/>
          <w:i w:val="0"/>
          <w:sz w:val="20"/>
        </w:rPr>
        <w:t xml:space="preserve">Figure </w:t>
      </w:r>
      <w:r w:rsidRPr="006223C5">
        <w:rPr>
          <w:rFonts w:ascii="Arial" w:hAnsi="Arial" w:cs="Arial"/>
          <w:b/>
          <w:i w:val="0"/>
          <w:sz w:val="20"/>
        </w:rPr>
        <w:fldChar w:fldCharType="begin"/>
      </w:r>
      <w:r w:rsidRPr="006223C5">
        <w:rPr>
          <w:rFonts w:ascii="Arial" w:hAnsi="Arial" w:cs="Arial"/>
          <w:b/>
          <w:i w:val="0"/>
          <w:sz w:val="20"/>
        </w:rPr>
        <w:instrText xml:space="preserve"> SEQ Figure \* ARABIC </w:instrText>
      </w:r>
      <w:r w:rsidRPr="006223C5">
        <w:rPr>
          <w:rFonts w:ascii="Arial" w:hAnsi="Arial" w:cs="Arial"/>
          <w:b/>
          <w:i w:val="0"/>
          <w:sz w:val="20"/>
        </w:rPr>
        <w:fldChar w:fldCharType="separate"/>
      </w:r>
      <w:r>
        <w:rPr>
          <w:rFonts w:ascii="Arial" w:hAnsi="Arial" w:cs="Arial"/>
          <w:b/>
          <w:i w:val="0"/>
          <w:noProof/>
          <w:sz w:val="20"/>
        </w:rPr>
        <w:t>5</w:t>
      </w:r>
      <w:r w:rsidRPr="006223C5">
        <w:rPr>
          <w:rFonts w:ascii="Arial" w:hAnsi="Arial" w:cs="Arial"/>
          <w:b/>
          <w:i w:val="0"/>
          <w:sz w:val="20"/>
        </w:rPr>
        <w:fldChar w:fldCharType="end"/>
      </w:r>
      <w:r w:rsidRPr="006223C5">
        <w:rPr>
          <w:rFonts w:ascii="Arial" w:hAnsi="Arial" w:cs="Arial"/>
          <w:b/>
          <w:i w:val="0"/>
          <w:sz w:val="20"/>
        </w:rPr>
        <w:t xml:space="preserve"> </w:t>
      </w:r>
      <w:r>
        <w:rPr>
          <w:rFonts w:ascii="Arial" w:hAnsi="Arial" w:cs="Arial"/>
          <w:b/>
          <w:i w:val="0"/>
          <w:sz w:val="20"/>
        </w:rPr>
        <w:t xml:space="preserve">Donor Node Resource Utilization (RU) and relative offered load per sector. </w:t>
      </w:r>
    </w:p>
    <w:p w14:paraId="782AC28E" w14:textId="77777777" w:rsidR="00986145" w:rsidRPr="00986145" w:rsidRDefault="00986145" w:rsidP="00986145"/>
    <w:p w14:paraId="494F3B06" w14:textId="0AA457C3" w:rsidR="00E87D81" w:rsidRDefault="007B79B7" w:rsidP="007B79B7">
      <w:pPr>
        <w:spacing w:after="0"/>
      </w:pPr>
      <w:r>
        <w:br w:type="page"/>
      </w:r>
    </w:p>
    <w:p w14:paraId="74CDDF38" w14:textId="7D58647E" w:rsidR="007B60C0" w:rsidRPr="00CE1280" w:rsidRDefault="00903A01" w:rsidP="007B60C0">
      <w:pPr>
        <w:pStyle w:val="Heading1"/>
        <w:rPr>
          <w:lang w:val="en-US"/>
        </w:rPr>
      </w:pPr>
      <w:r>
        <w:rPr>
          <w:lang w:val="en-US"/>
        </w:rPr>
        <w:lastRenderedPageBreak/>
        <w:t>4</w:t>
      </w:r>
      <w:r w:rsidR="007B60C0" w:rsidRPr="00CE1280">
        <w:rPr>
          <w:lang w:val="en-US"/>
        </w:rPr>
        <w:tab/>
      </w:r>
      <w:r w:rsidR="007B60C0">
        <w:rPr>
          <w:lang w:val="en-US"/>
        </w:rPr>
        <w:t>Summary</w:t>
      </w:r>
    </w:p>
    <w:p w14:paraId="5C2BEB81" w14:textId="29BA0F06" w:rsidR="007B60C0" w:rsidRDefault="00F0141A" w:rsidP="007B60C0">
      <w:r>
        <w:t xml:space="preserve">Based on the </w:t>
      </w:r>
      <w:r w:rsidR="00986145">
        <w:t>simulation results</w:t>
      </w:r>
      <w:r>
        <w:t xml:space="preserve"> pres</w:t>
      </w:r>
      <w:bookmarkStart w:id="2" w:name="_GoBack"/>
      <w:bookmarkEnd w:id="2"/>
      <w:r>
        <w:t xml:space="preserve">ented in this paper, the following is </w:t>
      </w:r>
      <w:r w:rsidR="00222C92">
        <w:t>observed</w:t>
      </w:r>
      <w:r>
        <w:t>:</w:t>
      </w:r>
    </w:p>
    <w:p w14:paraId="06100AF5" w14:textId="2C64D904" w:rsidR="000D61ED" w:rsidRPr="00986145" w:rsidRDefault="00986145" w:rsidP="00340E57">
      <w:pPr>
        <w:rPr>
          <w:b/>
        </w:rPr>
      </w:pPr>
      <w:r w:rsidRPr="00986145">
        <w:rPr>
          <w:b/>
        </w:rPr>
        <w:t>Observation</w:t>
      </w:r>
      <w:r w:rsidR="00F0141A" w:rsidRPr="00986145">
        <w:rPr>
          <w:b/>
        </w:rPr>
        <w:t xml:space="preserve"> 1:</w:t>
      </w:r>
      <w:r w:rsidR="00F0141A" w:rsidRPr="00986145">
        <w:t xml:space="preserve"> </w:t>
      </w:r>
      <w:r w:rsidRPr="00986145">
        <w:t xml:space="preserve">IAB provides a performance gain for the average UE throughput in all cases studied.   The IAB benefit is greater </w:t>
      </w:r>
      <w:r>
        <w:t>at lower network loading compared to higher network loading.</w:t>
      </w:r>
      <w:r w:rsidRPr="00986145">
        <w:rPr>
          <w:b/>
        </w:rPr>
        <w:t xml:space="preserve"> </w:t>
      </w:r>
    </w:p>
    <w:p w14:paraId="1FD5ABF2" w14:textId="53222CD4" w:rsidR="00986145" w:rsidRPr="00986145" w:rsidRDefault="00986145" w:rsidP="00986145">
      <w:pPr>
        <w:rPr>
          <w:b/>
        </w:rPr>
      </w:pPr>
      <w:r w:rsidRPr="00986145">
        <w:rPr>
          <w:b/>
        </w:rPr>
        <w:t xml:space="preserve">Observation </w:t>
      </w:r>
      <w:r>
        <w:rPr>
          <w:b/>
        </w:rPr>
        <w:t>2</w:t>
      </w:r>
      <w:r w:rsidRPr="00986145">
        <w:rPr>
          <w:b/>
        </w:rPr>
        <w:t>:</w:t>
      </w:r>
      <w:r w:rsidRPr="00986145">
        <w:t xml:space="preserve"> </w:t>
      </w:r>
      <w:r>
        <w:t>IAB provides a performance gain for the cell edge UE throughput in most cases studied.   Several cases in UMi scenario (7,12)</w:t>
      </w:r>
      <w:r w:rsidR="00F47D15">
        <w:t xml:space="preserve"> showed a performance loss at cell edge sugg</w:t>
      </w:r>
      <w:r w:rsidR="00C0636C">
        <w:t>esting that there is a need for additional techniques such as interference coordination, MU-MIMO or other techniques improving spectral efficiency at higher average sector loading.</w:t>
      </w:r>
    </w:p>
    <w:p w14:paraId="0FDCFAC2" w14:textId="77777777" w:rsidR="00CD4C7B" w:rsidRPr="00CE1280" w:rsidRDefault="00CD4C7B" w:rsidP="00CD4C7B">
      <w:pPr>
        <w:pStyle w:val="Heading1"/>
        <w:rPr>
          <w:lang w:val="en-US"/>
        </w:rPr>
      </w:pPr>
      <w:r w:rsidRPr="00CE1280">
        <w:rPr>
          <w:lang w:val="en-US"/>
        </w:rPr>
        <w:t>References</w:t>
      </w:r>
    </w:p>
    <w:p w14:paraId="253675E7" w14:textId="092A00E1" w:rsidR="002044C6" w:rsidRDefault="00903A01" w:rsidP="00903A01">
      <w:pPr>
        <w:numPr>
          <w:ilvl w:val="0"/>
          <w:numId w:val="4"/>
        </w:numPr>
        <w:overflowPunct w:val="0"/>
        <w:autoSpaceDE w:val="0"/>
        <w:autoSpaceDN w:val="0"/>
        <w:adjustRightInd w:val="0"/>
        <w:textAlignment w:val="baseline"/>
      </w:pPr>
      <w:bookmarkStart w:id="3" w:name="_Ref520898775"/>
      <w:bookmarkStart w:id="4" w:name="_Ref75086397"/>
      <w:r w:rsidRPr="00903A01">
        <w:t>RP-181349</w:t>
      </w:r>
      <w:r w:rsidR="00171109">
        <w:t>,</w:t>
      </w:r>
      <w:r w:rsidR="002044C6" w:rsidRPr="00340E57">
        <w:t xml:space="preserve"> </w:t>
      </w:r>
      <w:r w:rsidR="00171109">
        <w:t>“</w:t>
      </w:r>
      <w:r w:rsidRPr="00903A01">
        <w:rPr>
          <w:i/>
          <w:iCs/>
        </w:rPr>
        <w:t>Study on Integrated Access and Backhaul for NR</w:t>
      </w:r>
      <w:r w:rsidR="00171109">
        <w:rPr>
          <w:i/>
          <w:iCs/>
        </w:rPr>
        <w:t>”</w:t>
      </w:r>
      <w:r w:rsidR="002044C6">
        <w:rPr>
          <w:i/>
          <w:iCs/>
        </w:rPr>
        <w:t xml:space="preserve"> </w:t>
      </w:r>
      <w:r w:rsidR="002044C6" w:rsidRPr="00CE1280">
        <w:t xml:space="preserve">- </w:t>
      </w:r>
      <w:r w:rsidRPr="00903A01">
        <w:t>AT&amp;T, Qualcomm, Samsung, KDD</w:t>
      </w:r>
      <w:bookmarkEnd w:id="3"/>
    </w:p>
    <w:p w14:paraId="638CB3AB" w14:textId="2B706B5E" w:rsidR="00340E57" w:rsidRDefault="002044C6" w:rsidP="002044C6">
      <w:pPr>
        <w:numPr>
          <w:ilvl w:val="0"/>
          <w:numId w:val="4"/>
        </w:numPr>
        <w:overflowPunct w:val="0"/>
        <w:autoSpaceDE w:val="0"/>
        <w:autoSpaceDN w:val="0"/>
        <w:adjustRightInd w:val="0"/>
        <w:textAlignment w:val="baseline"/>
      </w:pPr>
      <w:bookmarkStart w:id="5" w:name="_Ref520898792"/>
      <w:r w:rsidRPr="002044C6">
        <w:t>R2-1809731</w:t>
      </w:r>
      <w:r w:rsidR="00171109">
        <w:t>,</w:t>
      </w:r>
      <w:r w:rsidR="00340E57" w:rsidRPr="00340E57">
        <w:t xml:space="preserve"> </w:t>
      </w:r>
      <w:r w:rsidRPr="002044C6">
        <w:rPr>
          <w:i/>
          <w:iCs/>
        </w:rPr>
        <w:t>TR 38.874, Version 0.3.2</w:t>
      </w:r>
      <w:r>
        <w:rPr>
          <w:i/>
          <w:iCs/>
        </w:rPr>
        <w:t xml:space="preserve"> </w:t>
      </w:r>
      <w:r w:rsidR="00340E57" w:rsidRPr="00CE1280">
        <w:t xml:space="preserve">- </w:t>
      </w:r>
      <w:r w:rsidR="00340E57" w:rsidRPr="00340E57">
        <w:t>Qualcomm</w:t>
      </w:r>
      <w:bookmarkEnd w:id="5"/>
    </w:p>
    <w:p w14:paraId="70D38D8D" w14:textId="77777777" w:rsidR="00A82556" w:rsidRDefault="00A82556" w:rsidP="000769EB">
      <w:pPr>
        <w:overflowPunct w:val="0"/>
        <w:autoSpaceDE w:val="0"/>
        <w:autoSpaceDN w:val="0"/>
        <w:adjustRightInd w:val="0"/>
        <w:textAlignment w:val="baseline"/>
      </w:pPr>
    </w:p>
    <w:bookmarkEnd w:id="4"/>
    <w:p w14:paraId="5524F183" w14:textId="77777777" w:rsidR="00CD4C7B" w:rsidRPr="00CE1280" w:rsidRDefault="00CD4C7B" w:rsidP="00CD4C7B"/>
    <w:p w14:paraId="055200B7" w14:textId="77777777" w:rsidR="00CD4C7B" w:rsidRPr="00CE1280" w:rsidRDefault="00CD4C7B" w:rsidP="00CD4C7B"/>
    <w:p w14:paraId="35F222F4" w14:textId="77777777" w:rsidR="00080512" w:rsidRPr="00CE1280" w:rsidRDefault="00080512" w:rsidP="00CD4C7B"/>
    <w:sectPr w:rsidR="00080512" w:rsidRPr="00CE1280">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5C99E" w14:textId="77777777" w:rsidR="00907457" w:rsidRDefault="00907457">
      <w:r>
        <w:separator/>
      </w:r>
    </w:p>
  </w:endnote>
  <w:endnote w:type="continuationSeparator" w:id="0">
    <w:p w14:paraId="2E95184D" w14:textId="77777777" w:rsidR="00907457" w:rsidRDefault="00907457">
      <w:r>
        <w:continuationSeparator/>
      </w:r>
    </w:p>
  </w:endnote>
  <w:endnote w:type="continuationNotice" w:id="1">
    <w:p w14:paraId="1BD2F6A8" w14:textId="77777777" w:rsidR="00907457" w:rsidRDefault="009074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FE683" w14:textId="77777777" w:rsidR="00BE336C" w:rsidRDefault="00BE33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768BF7" w14:textId="77777777" w:rsidR="00907457" w:rsidRDefault="00907457">
      <w:r>
        <w:separator/>
      </w:r>
    </w:p>
  </w:footnote>
  <w:footnote w:type="continuationSeparator" w:id="0">
    <w:p w14:paraId="07B241E4" w14:textId="77777777" w:rsidR="00907457" w:rsidRDefault="00907457">
      <w:r>
        <w:continuationSeparator/>
      </w:r>
    </w:p>
  </w:footnote>
  <w:footnote w:type="continuationNotice" w:id="1">
    <w:p w14:paraId="1535E34D" w14:textId="77777777" w:rsidR="00907457" w:rsidRDefault="009074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D56C5" w14:textId="77777777" w:rsidR="00BE336C" w:rsidRDefault="00BE33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F345046"/>
    <w:multiLevelType w:val="hybridMultilevel"/>
    <w:tmpl w:val="7C044C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6262D0"/>
    <w:multiLevelType w:val="hybridMultilevel"/>
    <w:tmpl w:val="D6507B60"/>
    <w:lvl w:ilvl="0" w:tplc="0DC0EBA6">
      <w:start w:val="2"/>
      <w:numFmt w:val="bullet"/>
      <w:lvlText w:val=""/>
      <w:lvlJc w:val="left"/>
      <w:pPr>
        <w:ind w:left="644" w:hanging="360"/>
      </w:pPr>
      <w:rPr>
        <w:rFonts w:ascii="Symbol" w:eastAsia="Times New Roman"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A1E50AA"/>
    <w:multiLevelType w:val="hybridMultilevel"/>
    <w:tmpl w:val="A2C87FAE"/>
    <w:lvl w:ilvl="0" w:tplc="0DC0EBA6">
      <w:start w:val="2"/>
      <w:numFmt w:val="bullet"/>
      <w:lvlText w:val=""/>
      <w:lvlJc w:val="left"/>
      <w:pPr>
        <w:ind w:left="1212" w:hanging="360"/>
      </w:pPr>
      <w:rPr>
        <w:rFonts w:ascii="Symbol" w:eastAsia="Times New Roman" w:hAnsi="Symbol"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 w15:restartNumberingAfterBreak="0">
    <w:nsid w:val="772E683E"/>
    <w:multiLevelType w:val="hybridMultilevel"/>
    <w:tmpl w:val="ACD02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6"/>
  </w:num>
  <w:num w:numId="6">
    <w:abstractNumId w:val="3"/>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4B2"/>
    <w:rsid w:val="00007595"/>
    <w:rsid w:val="00033397"/>
    <w:rsid w:val="00040095"/>
    <w:rsid w:val="00045009"/>
    <w:rsid w:val="00061049"/>
    <w:rsid w:val="00070680"/>
    <w:rsid w:val="000769EB"/>
    <w:rsid w:val="00080512"/>
    <w:rsid w:val="00087F7A"/>
    <w:rsid w:val="00090468"/>
    <w:rsid w:val="000920B7"/>
    <w:rsid w:val="00092FBA"/>
    <w:rsid w:val="000968F4"/>
    <w:rsid w:val="000A7039"/>
    <w:rsid w:val="000B7BCF"/>
    <w:rsid w:val="000C34D0"/>
    <w:rsid w:val="000C522B"/>
    <w:rsid w:val="000D58AB"/>
    <w:rsid w:val="000D61ED"/>
    <w:rsid w:val="000D7262"/>
    <w:rsid w:val="000F2EE4"/>
    <w:rsid w:val="000F3D84"/>
    <w:rsid w:val="00106867"/>
    <w:rsid w:val="001122E7"/>
    <w:rsid w:val="00112F1A"/>
    <w:rsid w:val="00145075"/>
    <w:rsid w:val="00160763"/>
    <w:rsid w:val="00171109"/>
    <w:rsid w:val="001741A0"/>
    <w:rsid w:val="00194CD0"/>
    <w:rsid w:val="001B49C9"/>
    <w:rsid w:val="001D04F6"/>
    <w:rsid w:val="001D67E6"/>
    <w:rsid w:val="001F168B"/>
    <w:rsid w:val="001F7831"/>
    <w:rsid w:val="00204045"/>
    <w:rsid w:val="002044C6"/>
    <w:rsid w:val="00221A4F"/>
    <w:rsid w:val="00222C92"/>
    <w:rsid w:val="0022606D"/>
    <w:rsid w:val="0025428B"/>
    <w:rsid w:val="002747EC"/>
    <w:rsid w:val="0027543A"/>
    <w:rsid w:val="002855BF"/>
    <w:rsid w:val="00290276"/>
    <w:rsid w:val="002A67B3"/>
    <w:rsid w:val="002A7C20"/>
    <w:rsid w:val="002B7ED1"/>
    <w:rsid w:val="002F0D22"/>
    <w:rsid w:val="002F2274"/>
    <w:rsid w:val="003172DC"/>
    <w:rsid w:val="00320CA2"/>
    <w:rsid w:val="00326069"/>
    <w:rsid w:val="00340E57"/>
    <w:rsid w:val="0035462D"/>
    <w:rsid w:val="003548A1"/>
    <w:rsid w:val="003A45DF"/>
    <w:rsid w:val="003A4FAF"/>
    <w:rsid w:val="003B40AD"/>
    <w:rsid w:val="003C27AA"/>
    <w:rsid w:val="003C4E37"/>
    <w:rsid w:val="003D4E5C"/>
    <w:rsid w:val="003E16BE"/>
    <w:rsid w:val="003E324E"/>
    <w:rsid w:val="003F2824"/>
    <w:rsid w:val="004006E8"/>
    <w:rsid w:val="0040079E"/>
    <w:rsid w:val="004007DE"/>
    <w:rsid w:val="00401855"/>
    <w:rsid w:val="00461712"/>
    <w:rsid w:val="00462207"/>
    <w:rsid w:val="00477455"/>
    <w:rsid w:val="0049676F"/>
    <w:rsid w:val="00496E15"/>
    <w:rsid w:val="004B69C6"/>
    <w:rsid w:val="004D02C3"/>
    <w:rsid w:val="004D3578"/>
    <w:rsid w:val="004D380D"/>
    <w:rsid w:val="004E213A"/>
    <w:rsid w:val="004E58BA"/>
    <w:rsid w:val="004E7A44"/>
    <w:rsid w:val="004F071C"/>
    <w:rsid w:val="00503171"/>
    <w:rsid w:val="00506C28"/>
    <w:rsid w:val="00523D48"/>
    <w:rsid w:val="00534DA0"/>
    <w:rsid w:val="00543E6C"/>
    <w:rsid w:val="005573C6"/>
    <w:rsid w:val="00565087"/>
    <w:rsid w:val="0056573F"/>
    <w:rsid w:val="00565DED"/>
    <w:rsid w:val="00567465"/>
    <w:rsid w:val="00595EB5"/>
    <w:rsid w:val="005B4B7F"/>
    <w:rsid w:val="005C2335"/>
    <w:rsid w:val="005C3587"/>
    <w:rsid w:val="005C5719"/>
    <w:rsid w:val="005D4468"/>
    <w:rsid w:val="00611566"/>
    <w:rsid w:val="006223C5"/>
    <w:rsid w:val="00646D99"/>
    <w:rsid w:val="00656910"/>
    <w:rsid w:val="00670471"/>
    <w:rsid w:val="00681789"/>
    <w:rsid w:val="006B4818"/>
    <w:rsid w:val="006C66D8"/>
    <w:rsid w:val="006D1E24"/>
    <w:rsid w:val="006E1417"/>
    <w:rsid w:val="006F6A2C"/>
    <w:rsid w:val="007010B4"/>
    <w:rsid w:val="007047E7"/>
    <w:rsid w:val="00710201"/>
    <w:rsid w:val="00734A5B"/>
    <w:rsid w:val="00744E76"/>
    <w:rsid w:val="0074709C"/>
    <w:rsid w:val="00757D40"/>
    <w:rsid w:val="00781F0F"/>
    <w:rsid w:val="00784677"/>
    <w:rsid w:val="00786399"/>
    <w:rsid w:val="0078727C"/>
    <w:rsid w:val="0079049D"/>
    <w:rsid w:val="00791953"/>
    <w:rsid w:val="007B18D8"/>
    <w:rsid w:val="007B2CD2"/>
    <w:rsid w:val="007B60C0"/>
    <w:rsid w:val="007B79B7"/>
    <w:rsid w:val="007C095F"/>
    <w:rsid w:val="007D7DB1"/>
    <w:rsid w:val="008028A4"/>
    <w:rsid w:val="00813245"/>
    <w:rsid w:val="00867F22"/>
    <w:rsid w:val="008768CA"/>
    <w:rsid w:val="00877EF9"/>
    <w:rsid w:val="00880559"/>
    <w:rsid w:val="008873A7"/>
    <w:rsid w:val="008A2708"/>
    <w:rsid w:val="008B5306"/>
    <w:rsid w:val="008D51CB"/>
    <w:rsid w:val="00900580"/>
    <w:rsid w:val="0090271F"/>
    <w:rsid w:val="00902DB9"/>
    <w:rsid w:val="00903A01"/>
    <w:rsid w:val="0090466A"/>
    <w:rsid w:val="009073DC"/>
    <w:rsid w:val="00907457"/>
    <w:rsid w:val="009127F2"/>
    <w:rsid w:val="00934126"/>
    <w:rsid w:val="00936071"/>
    <w:rsid w:val="00940212"/>
    <w:rsid w:val="00942A91"/>
    <w:rsid w:val="00942EC2"/>
    <w:rsid w:val="009548C5"/>
    <w:rsid w:val="00961B32"/>
    <w:rsid w:val="00962872"/>
    <w:rsid w:val="009652AF"/>
    <w:rsid w:val="00970DB3"/>
    <w:rsid w:val="00974BB0"/>
    <w:rsid w:val="0098391D"/>
    <w:rsid w:val="00986145"/>
    <w:rsid w:val="009A0AF3"/>
    <w:rsid w:val="009B072B"/>
    <w:rsid w:val="009B07CD"/>
    <w:rsid w:val="009B53E1"/>
    <w:rsid w:val="009C19E9"/>
    <w:rsid w:val="00A00863"/>
    <w:rsid w:val="00A10F02"/>
    <w:rsid w:val="00A204CA"/>
    <w:rsid w:val="00A53724"/>
    <w:rsid w:val="00A53881"/>
    <w:rsid w:val="00A54394"/>
    <w:rsid w:val="00A7179B"/>
    <w:rsid w:val="00A72CFA"/>
    <w:rsid w:val="00A82346"/>
    <w:rsid w:val="00A82556"/>
    <w:rsid w:val="00A9580C"/>
    <w:rsid w:val="00A9671C"/>
    <w:rsid w:val="00AA1553"/>
    <w:rsid w:val="00AA5C89"/>
    <w:rsid w:val="00AB4BC9"/>
    <w:rsid w:val="00AB4C66"/>
    <w:rsid w:val="00AC3F9D"/>
    <w:rsid w:val="00AC7B70"/>
    <w:rsid w:val="00B00E97"/>
    <w:rsid w:val="00B14469"/>
    <w:rsid w:val="00B15449"/>
    <w:rsid w:val="00B41125"/>
    <w:rsid w:val="00B47FD1"/>
    <w:rsid w:val="00B516BB"/>
    <w:rsid w:val="00B544CB"/>
    <w:rsid w:val="00B7289E"/>
    <w:rsid w:val="00B811C0"/>
    <w:rsid w:val="00BA54E7"/>
    <w:rsid w:val="00BE336C"/>
    <w:rsid w:val="00C0636C"/>
    <w:rsid w:val="00C12B51"/>
    <w:rsid w:val="00C24650"/>
    <w:rsid w:val="00C33079"/>
    <w:rsid w:val="00C652B9"/>
    <w:rsid w:val="00C83A13"/>
    <w:rsid w:val="00C85E53"/>
    <w:rsid w:val="00C9068C"/>
    <w:rsid w:val="00C92967"/>
    <w:rsid w:val="00C92F36"/>
    <w:rsid w:val="00CA3D0C"/>
    <w:rsid w:val="00CA654B"/>
    <w:rsid w:val="00CC0431"/>
    <w:rsid w:val="00CD4C7B"/>
    <w:rsid w:val="00CE1280"/>
    <w:rsid w:val="00CF32B0"/>
    <w:rsid w:val="00D06562"/>
    <w:rsid w:val="00D121CA"/>
    <w:rsid w:val="00D12BE9"/>
    <w:rsid w:val="00D12CD9"/>
    <w:rsid w:val="00D20009"/>
    <w:rsid w:val="00D3438E"/>
    <w:rsid w:val="00D738D6"/>
    <w:rsid w:val="00D80083"/>
    <w:rsid w:val="00D80795"/>
    <w:rsid w:val="00D854BE"/>
    <w:rsid w:val="00D87E00"/>
    <w:rsid w:val="00D9134D"/>
    <w:rsid w:val="00D939D4"/>
    <w:rsid w:val="00D939F3"/>
    <w:rsid w:val="00D96D11"/>
    <w:rsid w:val="00DA1C21"/>
    <w:rsid w:val="00DA42FF"/>
    <w:rsid w:val="00DA7A03"/>
    <w:rsid w:val="00DB1818"/>
    <w:rsid w:val="00DC2B5B"/>
    <w:rsid w:val="00DC309B"/>
    <w:rsid w:val="00DC4DA2"/>
    <w:rsid w:val="00DD028C"/>
    <w:rsid w:val="00DD7554"/>
    <w:rsid w:val="00DD7B4A"/>
    <w:rsid w:val="00E14E38"/>
    <w:rsid w:val="00E5292A"/>
    <w:rsid w:val="00E539C3"/>
    <w:rsid w:val="00E62835"/>
    <w:rsid w:val="00E67908"/>
    <w:rsid w:val="00E77645"/>
    <w:rsid w:val="00E83697"/>
    <w:rsid w:val="00E87D81"/>
    <w:rsid w:val="00E91136"/>
    <w:rsid w:val="00EC4A25"/>
    <w:rsid w:val="00EC648C"/>
    <w:rsid w:val="00EC66C6"/>
    <w:rsid w:val="00F0141A"/>
    <w:rsid w:val="00F025A2"/>
    <w:rsid w:val="00F07388"/>
    <w:rsid w:val="00F2026E"/>
    <w:rsid w:val="00F2210A"/>
    <w:rsid w:val="00F33170"/>
    <w:rsid w:val="00F37743"/>
    <w:rsid w:val="00F47D15"/>
    <w:rsid w:val="00F54A3D"/>
    <w:rsid w:val="00F54CB0"/>
    <w:rsid w:val="00F636F1"/>
    <w:rsid w:val="00F653B8"/>
    <w:rsid w:val="00F6685D"/>
    <w:rsid w:val="00F71B89"/>
    <w:rsid w:val="00F7353C"/>
    <w:rsid w:val="00F76F8F"/>
    <w:rsid w:val="00FA1266"/>
    <w:rsid w:val="00FA2A84"/>
    <w:rsid w:val="00FA62E2"/>
    <w:rsid w:val="00FB36FA"/>
    <w:rsid w:val="00FC0ED6"/>
    <w:rsid w:val="00FC1192"/>
    <w:rsid w:val="00FF0CC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87D81"/>
    <w:pPr>
      <w:spacing w:after="180"/>
    </w:pPr>
    <w:rPr>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934126"/>
    <w:pPr>
      <w:ind w:left="720"/>
      <w:contextualSpacing/>
    </w:pPr>
  </w:style>
  <w:style w:type="paragraph" w:styleId="Caption">
    <w:name w:val="caption"/>
    <w:basedOn w:val="Normal"/>
    <w:next w:val="Normal"/>
    <w:unhideWhenUsed/>
    <w:qFormat/>
    <w:rsid w:val="007B2CD2"/>
    <w:pPr>
      <w:spacing w:after="200"/>
    </w:pPr>
    <w:rPr>
      <w:i/>
      <w:iCs/>
      <w:color w:val="44546A" w:themeColor="text2"/>
      <w:sz w:val="18"/>
      <w:szCs w:val="18"/>
    </w:rPr>
  </w:style>
  <w:style w:type="paragraph" w:styleId="Revision">
    <w:name w:val="Revision"/>
    <w:hidden/>
    <w:uiPriority w:val="99"/>
    <w:semiHidden/>
    <w:rsid w:val="00BE336C"/>
    <w:rPr>
      <w:lang w:val="en-US" w:eastAsia="en-US"/>
    </w:rPr>
  </w:style>
  <w:style w:type="paragraph" w:styleId="BalloonText">
    <w:name w:val="Balloon Text"/>
    <w:basedOn w:val="Normal"/>
    <w:link w:val="BalloonTextChar"/>
    <w:rsid w:val="00BE336C"/>
    <w:pPr>
      <w:spacing w:after="0"/>
    </w:pPr>
    <w:rPr>
      <w:rFonts w:ascii="Segoe UI" w:hAnsi="Segoe UI" w:cs="Segoe UI"/>
      <w:sz w:val="18"/>
      <w:szCs w:val="18"/>
    </w:rPr>
  </w:style>
  <w:style w:type="character" w:customStyle="1" w:styleId="BalloonTextChar">
    <w:name w:val="Balloon Text Char"/>
    <w:basedOn w:val="DefaultParagraphFont"/>
    <w:link w:val="BalloonText"/>
    <w:rsid w:val="00BE336C"/>
    <w:rPr>
      <w:rFonts w:ascii="Segoe UI" w:hAnsi="Segoe UI" w:cs="Segoe UI"/>
      <w:sz w:val="18"/>
      <w:szCs w:val="18"/>
      <w:lang w:val="en-US" w:eastAsia="en-US"/>
    </w:rPr>
  </w:style>
  <w:style w:type="character" w:styleId="CommentReference">
    <w:name w:val="annotation reference"/>
    <w:basedOn w:val="DefaultParagraphFont"/>
    <w:rsid w:val="00AA5C89"/>
    <w:rPr>
      <w:sz w:val="16"/>
      <w:szCs w:val="16"/>
    </w:rPr>
  </w:style>
  <w:style w:type="paragraph" w:styleId="CommentText">
    <w:name w:val="annotation text"/>
    <w:basedOn w:val="Normal"/>
    <w:link w:val="CommentTextChar"/>
    <w:rsid w:val="00AA5C89"/>
  </w:style>
  <w:style w:type="character" w:customStyle="1" w:styleId="CommentTextChar">
    <w:name w:val="Comment Text Char"/>
    <w:basedOn w:val="DefaultParagraphFont"/>
    <w:link w:val="CommentText"/>
    <w:rsid w:val="00AA5C89"/>
    <w:rPr>
      <w:lang w:val="en-US" w:eastAsia="en-US"/>
    </w:rPr>
  </w:style>
  <w:style w:type="paragraph" w:styleId="CommentSubject">
    <w:name w:val="annotation subject"/>
    <w:basedOn w:val="CommentText"/>
    <w:next w:val="CommentText"/>
    <w:link w:val="CommentSubjectChar"/>
    <w:rsid w:val="00AA5C89"/>
    <w:rPr>
      <w:b/>
      <w:bCs/>
    </w:rPr>
  </w:style>
  <w:style w:type="character" w:customStyle="1" w:styleId="CommentSubjectChar">
    <w:name w:val="Comment Subject Char"/>
    <w:basedOn w:val="CommentTextChar"/>
    <w:link w:val="CommentSubject"/>
    <w:rsid w:val="00AA5C89"/>
    <w:rPr>
      <w:b/>
      <w:bCs/>
      <w:lang w:val="en-US" w:eastAsia="en-US"/>
    </w:rPr>
  </w:style>
  <w:style w:type="character" w:customStyle="1" w:styleId="Heading1Char">
    <w:name w:val="Heading 1 Char"/>
    <w:basedOn w:val="DefaultParagraphFont"/>
    <w:link w:val="Heading1"/>
    <w:rsid w:val="00903A0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5AIRPNAIUNRU-1830940522-3752</_dlc_DocId>
    <_dlc_DocIdUrl xmlns="71c5aaf6-e6ce-465b-b873-5148d2a4c105">
      <Url>https://nokia.sharepoint.com/sites/c5g/5gradio/_layouts/15/DocIdRedir.aspx?ID=5AIRPNAIUNRU-1830940522-3752</Url>
      <Description>5AIRPNAIUNRU-1830940522-3752</Description>
    </_dlc_DocIdUrl>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D904E-30FA-44E5-B9D9-5C10ED169069}">
  <ds:schemaRefs>
    <ds:schemaRef ds:uri="71c5aaf6-e6ce-465b-b873-5148d2a4c105"/>
    <ds:schemaRef ds:uri="3b34c8f0-1ef5-4d1e-bb66-517ce7fe7356"/>
    <ds:schemaRef ds:uri="http://purl.org/dc/terms/"/>
    <ds:schemaRef ds:uri="http://schemas.microsoft.com/office/2006/documentManagement/types"/>
    <ds:schemaRef ds:uri="ebabf6ce-2443-438c-9946-ecc878e7654a"/>
    <ds:schemaRef ds:uri="http://www.w3.org/XML/1998/namespace"/>
    <ds:schemaRef ds:uri="http://purl.org/dc/elements/1.1/"/>
    <ds:schemaRef ds:uri="http://schemas.microsoft.com/office/infopath/2007/PartnerControls"/>
    <ds:schemaRef ds:uri="http://schemas.openxmlformats.org/package/2006/metadata/core-properties"/>
    <ds:schemaRef ds:uri="95d2e41d-1f11-4347-bb1c-11d6a32975dd"/>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951ACE9A-1FE9-4EC9-92F1-F0DEDC7535E8}">
  <ds:schemaRefs>
    <ds:schemaRef ds:uri="Microsoft.SharePoint.Taxonomy.ContentTypeSync"/>
  </ds:schemaRefs>
</ds:datastoreItem>
</file>

<file path=customXml/itemProps3.xml><?xml version="1.0" encoding="utf-8"?>
<ds:datastoreItem xmlns:ds="http://schemas.openxmlformats.org/officeDocument/2006/customXml" ds:itemID="{8502F548-1CDE-4059-97F0-A77B3BCD736B}">
  <ds:schemaRefs>
    <ds:schemaRef ds:uri="http://schemas.microsoft.com/sharepoint/v3/contenttype/forms"/>
  </ds:schemaRefs>
</ds:datastoreItem>
</file>

<file path=customXml/itemProps4.xml><?xml version="1.0" encoding="utf-8"?>
<ds:datastoreItem xmlns:ds="http://schemas.openxmlformats.org/officeDocument/2006/customXml" ds:itemID="{3E3C4426-1192-42CD-A3A2-B38A4070D6A4}">
  <ds:schemaRefs>
    <ds:schemaRef ds:uri="http://schemas.microsoft.com/sharepoint/events"/>
  </ds:schemaRefs>
</ds:datastoreItem>
</file>

<file path=customXml/itemProps5.xml><?xml version="1.0" encoding="utf-8"?>
<ds:datastoreItem xmlns:ds="http://schemas.openxmlformats.org/officeDocument/2006/customXml" ds:itemID="{0037FACD-75BB-4B40-A60F-77C99907C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9D21705-22D0-4749-B782-F5A5175F9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595</Words>
  <Characters>3394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3982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Cudak, Mark (Nokia - US/Arlington Heights)</dc:creator>
  <cp:lastModifiedBy>Jayasinghe, Keeth (Nokia - FI/Espoo)</cp:lastModifiedBy>
  <cp:revision>2</cp:revision>
  <cp:lastPrinted>2018-01-09T16:02:00Z</cp:lastPrinted>
  <dcterms:created xsi:type="dcterms:W3CDTF">2018-08-10T12:49:00Z</dcterms:created>
  <dcterms:modified xsi:type="dcterms:W3CDTF">2018-08-10T12:49:00Z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e30f6b73-c264-4e8e-a007-68859166f444</vt:lpwstr>
  </property>
</Properties>
</file>